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犍为县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人民医院新药申请表</w:t>
      </w: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rPr>
          <w:rFonts w:ascii="方正小标宋简体" w:hAnsi="宋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28"/>
          <w:szCs w:val="28"/>
        </w:rPr>
        <w:t>表格填写说明</w:t>
      </w:r>
    </w:p>
    <w:p>
      <w:pPr>
        <w:widowControl/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</w:rPr>
        <w:t>1.表格中的所有内容均须填写完整、真实有效，对于在提交资料前国家的医保目录有更改但尚未发布的，均按照之前医保目录的内容填写。</w:t>
      </w:r>
    </w:p>
    <w:p>
      <w:pPr>
        <w:widowControl/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</w:rPr>
        <w:t>.质量层次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建议分类如下：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原研药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（或参比制剂）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、通过一致性评价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仿制药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，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未通过一致性评价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仿制药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</w:rPr>
        <w:t>。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仿制药可不提供证明材料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，前两者建议提供证明材料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。</w:t>
      </w:r>
    </w:p>
    <w:p>
      <w:pPr>
        <w:widowControl/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</w:rPr>
        <w:t>.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新药类型建议按照“《药品注册管理办法》2020年总局27号令”分类，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如创新药、改良型新药，仿制药等，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可不提供证明材料。</w:t>
      </w:r>
    </w:p>
    <w:p>
      <w:pPr>
        <w:widowControl/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</w:rPr>
        <w:t>医保编码请填写药物的药品本位码（国家食药监局网站查询），如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eastAsia="zh-CN"/>
        </w:rPr>
        <w:t>艾司奥美拉唑镁肠溶胶囊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</w:rPr>
        <w:t>，药品本位码为869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01359000027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</w:rPr>
        <w:t>。</w:t>
      </w:r>
    </w:p>
    <w:p>
      <w:pPr>
        <w:widowControl/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</w:rPr>
        <w:t>诊疗规范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建议填写</w:t>
      </w:r>
      <w:r>
        <w:rPr>
          <w:rFonts w:hint="default" w:ascii="Times New Roman" w:hAnsi="Times New Roman" w:eastAsia="方正小标宋简体" w:cs="Times New Roman"/>
          <w:color w:val="FF0000"/>
          <w:kern w:val="0"/>
          <w:sz w:val="28"/>
          <w:szCs w:val="28"/>
          <w:lang w:val="en-US" w:eastAsia="zh-CN"/>
        </w:rPr>
        <w:t>证据级别与推荐级别最高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的代表性指南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共识等。</w:t>
      </w:r>
    </w:p>
    <w:p>
      <w:pPr>
        <w:widowControl/>
        <w:rPr>
          <w:rFonts w:ascii="方正小标宋简体" w:hAnsi="宋体" w:eastAsia="方正小标宋简体" w:cs="方正小标宋简体"/>
          <w:color w:val="000000"/>
          <w:kern w:val="0"/>
          <w:sz w:val="28"/>
          <w:szCs w:val="28"/>
        </w:rPr>
      </w:pPr>
      <w:r>
        <w:rPr>
          <w:rFonts w:ascii="方正小标宋简体" w:hAnsi="宋体" w:eastAsia="方正小标宋简体" w:cs="方正小标宋简体"/>
          <w:color w:val="000000"/>
          <w:kern w:val="0"/>
          <w:sz w:val="28"/>
          <w:szCs w:val="28"/>
        </w:rPr>
        <w:br w:type="page"/>
      </w:r>
    </w:p>
    <w:p>
      <w:pPr>
        <w:widowControl/>
        <w:rPr>
          <w:rFonts w:ascii="方正小标宋简体" w:eastAsia="方正小标宋简体" w:cs="Times New Roman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28"/>
          <w:szCs w:val="28"/>
        </w:rPr>
        <w:t>附件</w:t>
      </w:r>
      <w:r>
        <w:rPr>
          <w:rFonts w:ascii="方正小标宋简体" w:hAnsi="宋体" w:eastAsia="方正小标宋简体" w:cs="方正小标宋简体"/>
          <w:color w:val="000000"/>
          <w:kern w:val="0"/>
          <w:sz w:val="28"/>
          <w:szCs w:val="28"/>
        </w:rPr>
        <w:t>2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28"/>
          <w:szCs w:val="28"/>
        </w:rPr>
        <w:t>：</w:t>
      </w:r>
    </w:p>
    <w:tbl>
      <w:tblPr>
        <w:tblStyle w:val="5"/>
        <w:tblW w:w="95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404"/>
        <w:gridCol w:w="1261"/>
        <w:gridCol w:w="1260"/>
        <w:gridCol w:w="1620"/>
        <w:gridCol w:w="28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7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犍为县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人民医院新药申请表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通用名称</w:t>
            </w:r>
          </w:p>
        </w:tc>
        <w:tc>
          <w:tcPr>
            <w:tcW w:w="3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批准文号</w:t>
            </w:r>
          </w:p>
        </w:tc>
        <w:tc>
          <w:tcPr>
            <w:tcW w:w="39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</w:t>
            </w:r>
          </w:p>
        </w:tc>
        <w:tc>
          <w:tcPr>
            <w:tcW w:w="2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质量层次</w:t>
            </w:r>
          </w:p>
        </w:tc>
        <w:tc>
          <w:tcPr>
            <w:tcW w:w="39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新药类型</w:t>
            </w:r>
          </w:p>
        </w:tc>
        <w:tc>
          <w:tcPr>
            <w:tcW w:w="2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医保品种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）否（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医保编号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国家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基药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）否（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是否挂网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）否（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价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其他依据价格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日均费用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药品自身优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势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企业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联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系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推荐使用科室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Times New Roman"/>
                <w:color w:val="FF0000"/>
                <w:kern w:val="0"/>
                <w:sz w:val="22"/>
                <w:lang w:val="en-US" w:eastAsia="zh-CN"/>
              </w:rPr>
              <w:t>只需填写1个临床科室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7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主要适应症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/>
              </w:rPr>
              <w:t>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用法用量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专科诊疗指南、专家共识或临床路径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诊疗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规范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推荐情况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诊疗指南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专家共识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注明证据级别与推荐级别）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jc w:val="both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宋体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2"/>
                <w:lang w:eastAsia="zh-CN"/>
              </w:rPr>
              <w:t>备注：</w:t>
            </w:r>
            <w:bookmarkStart w:id="0" w:name="_GoBack"/>
            <w:bookmarkEnd w:id="0"/>
          </w:p>
          <w:p>
            <w:pPr>
              <w:widowControl/>
              <w:jc w:val="both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C8"/>
    <w:rsid w:val="0002210B"/>
    <w:rsid w:val="000420F9"/>
    <w:rsid w:val="000B0F00"/>
    <w:rsid w:val="000D56ED"/>
    <w:rsid w:val="00133949"/>
    <w:rsid w:val="00141C3D"/>
    <w:rsid w:val="00156997"/>
    <w:rsid w:val="001A1AE5"/>
    <w:rsid w:val="001E5BF9"/>
    <w:rsid w:val="002E07FF"/>
    <w:rsid w:val="003822CE"/>
    <w:rsid w:val="004D4D49"/>
    <w:rsid w:val="004E31D1"/>
    <w:rsid w:val="004E7E88"/>
    <w:rsid w:val="00551AAC"/>
    <w:rsid w:val="00564DC8"/>
    <w:rsid w:val="00573E16"/>
    <w:rsid w:val="005B7FA9"/>
    <w:rsid w:val="005F4390"/>
    <w:rsid w:val="006363F9"/>
    <w:rsid w:val="006D429F"/>
    <w:rsid w:val="006D7B3F"/>
    <w:rsid w:val="006F1025"/>
    <w:rsid w:val="007811AF"/>
    <w:rsid w:val="007C6F98"/>
    <w:rsid w:val="00815951"/>
    <w:rsid w:val="00823071"/>
    <w:rsid w:val="0085588F"/>
    <w:rsid w:val="008701F9"/>
    <w:rsid w:val="008B215B"/>
    <w:rsid w:val="00910555"/>
    <w:rsid w:val="00950263"/>
    <w:rsid w:val="00A71F27"/>
    <w:rsid w:val="00B37960"/>
    <w:rsid w:val="00B47F3F"/>
    <w:rsid w:val="00B604B5"/>
    <w:rsid w:val="00B8759B"/>
    <w:rsid w:val="00B95A09"/>
    <w:rsid w:val="00C52684"/>
    <w:rsid w:val="00CD779B"/>
    <w:rsid w:val="00D25EC4"/>
    <w:rsid w:val="00D36088"/>
    <w:rsid w:val="00DA11DF"/>
    <w:rsid w:val="00DE1218"/>
    <w:rsid w:val="00DE6649"/>
    <w:rsid w:val="00DF65C1"/>
    <w:rsid w:val="00E166D8"/>
    <w:rsid w:val="00E2044A"/>
    <w:rsid w:val="00FB276E"/>
    <w:rsid w:val="00FD1B20"/>
    <w:rsid w:val="00FD5BC1"/>
    <w:rsid w:val="00FF2F0D"/>
    <w:rsid w:val="04AE3257"/>
    <w:rsid w:val="12366A55"/>
    <w:rsid w:val="12F64C2D"/>
    <w:rsid w:val="14321D0A"/>
    <w:rsid w:val="15137B0A"/>
    <w:rsid w:val="1844375A"/>
    <w:rsid w:val="1B1770DB"/>
    <w:rsid w:val="1FC70AC4"/>
    <w:rsid w:val="21C76137"/>
    <w:rsid w:val="21C768A7"/>
    <w:rsid w:val="245E49D2"/>
    <w:rsid w:val="276968BC"/>
    <w:rsid w:val="297704C0"/>
    <w:rsid w:val="2C36521B"/>
    <w:rsid w:val="2DEC3455"/>
    <w:rsid w:val="2E794150"/>
    <w:rsid w:val="38710249"/>
    <w:rsid w:val="3B1B3584"/>
    <w:rsid w:val="3C2660E1"/>
    <w:rsid w:val="41871805"/>
    <w:rsid w:val="41C852EC"/>
    <w:rsid w:val="45A339CB"/>
    <w:rsid w:val="470E36B2"/>
    <w:rsid w:val="48134F25"/>
    <w:rsid w:val="4B465686"/>
    <w:rsid w:val="4B8B35B2"/>
    <w:rsid w:val="4B947063"/>
    <w:rsid w:val="51A433DE"/>
    <w:rsid w:val="579E3B11"/>
    <w:rsid w:val="623224C7"/>
    <w:rsid w:val="643C5DBC"/>
    <w:rsid w:val="643E3CDE"/>
    <w:rsid w:val="65D50FB8"/>
    <w:rsid w:val="67E113A6"/>
    <w:rsid w:val="68CE0E14"/>
    <w:rsid w:val="6E9D62A2"/>
    <w:rsid w:val="73450AA7"/>
    <w:rsid w:val="7D2C7046"/>
    <w:rsid w:val="7E9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129</Words>
  <Characters>739</Characters>
  <Lines>6</Lines>
  <Paragraphs>1</Paragraphs>
  <TotalTime>4</TotalTime>
  <ScaleCrop>false</ScaleCrop>
  <LinksUpToDate>false</LinksUpToDate>
  <CharactersWithSpaces>867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2017-03-29T01:06:00Z</dcterms:created>
  <dc:creator>user</dc:creator>
  <cp:lastModifiedBy>dyj</cp:lastModifiedBy>
  <cp:lastPrinted>2017-03-24T01:49:00Z</cp:lastPrinted>
  <dcterms:modified xsi:type="dcterms:W3CDTF">2021-01-15T09:08:22Z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